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楷体_GB2312" w:hAnsi="楷体_GB2312" w:eastAsia="楷体_GB2312" w:cs="楷体_GB2312"/>
          <w:b/>
          <w:bCs/>
          <w:sz w:val="44"/>
          <w:szCs w:val="44"/>
          <w:lang w:val="en-US" w:eastAsia="zh-CN"/>
        </w:rPr>
      </w:pPr>
      <w:r>
        <w:rPr>
          <w:rFonts w:hint="eastAsia" w:ascii="楷体_GB2312" w:hAnsi="楷体_GB2312" w:eastAsia="楷体_GB2312" w:cs="楷体_GB2312"/>
          <w:b/>
          <w:bCs/>
          <w:sz w:val="44"/>
          <w:szCs w:val="44"/>
          <w:lang w:eastAsia="zh-CN"/>
        </w:rPr>
        <w:t>上飞院采供条线法律法规学习清单</w:t>
      </w:r>
    </w:p>
    <w:p>
      <w:pPr>
        <w:ind w:left="0" w:leftChars="0" w:firstLine="0" w:firstLineChars="0"/>
        <w:jc w:val="center"/>
        <w:rPr>
          <w:rFonts w:hint="eastAsia" w:ascii="楷体_GB2312" w:hAnsi="楷体_GB2312" w:eastAsia="楷体_GB2312" w:cs="楷体_GB2312"/>
          <w:b w:val="0"/>
          <w:bCs w:val="0"/>
          <w:sz w:val="28"/>
          <w:szCs w:val="28"/>
          <w:lang w:eastAsia="zh-CN"/>
        </w:rPr>
      </w:pPr>
      <w:r>
        <w:rPr>
          <w:rFonts w:hint="eastAsia" w:ascii="楷体_GB2312" w:hAnsi="楷体_GB2312" w:eastAsia="楷体_GB2312" w:cs="楷体_GB2312"/>
          <w:b/>
          <w:bCs/>
          <w:sz w:val="24"/>
          <w:szCs w:val="24"/>
          <w:lang w:val="en-US" w:eastAsia="zh-CN"/>
        </w:rPr>
        <w:t xml:space="preserve">                          </w:t>
      </w:r>
      <w:r>
        <w:rPr>
          <w:rFonts w:hint="eastAsia" w:ascii="楷体_GB2312" w:hAnsi="楷体_GB2312" w:eastAsia="楷体_GB2312" w:cs="楷体_GB2312"/>
          <w:b w:val="0"/>
          <w:bCs w:val="0"/>
          <w:sz w:val="28"/>
          <w:szCs w:val="28"/>
          <w:lang w:val="en-US" w:eastAsia="zh-CN"/>
        </w:rPr>
        <w:t xml:space="preserve">  </w:t>
      </w:r>
      <w:r>
        <w:rPr>
          <w:rFonts w:hint="eastAsia" w:ascii="楷体_GB2312" w:hAnsi="楷体_GB2312" w:eastAsia="楷体_GB2312" w:cs="楷体_GB2312"/>
          <w:b w:val="0"/>
          <w:bCs w:val="0"/>
          <w:sz w:val="28"/>
          <w:szCs w:val="28"/>
          <w:lang w:eastAsia="zh-CN"/>
        </w:rPr>
        <w:t>编制部门：法律与合规部</w:t>
      </w:r>
    </w:p>
    <w:tbl>
      <w:tblPr>
        <w:tblStyle w:val="7"/>
        <w:tblW w:w="8522" w:type="dxa"/>
        <w:tblInd w:w="0" w:type="dxa"/>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
      <w:tblGrid>
        <w:gridCol w:w="712"/>
        <w:gridCol w:w="4400"/>
        <w:gridCol w:w="3410"/>
      </w:tblGrid>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left w:val="nil"/>
              <w:right w:val="threeDEmboss" w:color="auto" w:sz="6" w:space="0"/>
            </w:tcBorders>
            <w:shd w:val="clear" w:color="auto" w:fill="9BBB59"/>
            <w:vAlign w:val="top"/>
          </w:tcPr>
          <w:p>
            <w:pPr>
              <w:keepNext w:val="0"/>
              <w:keepLines w:val="0"/>
              <w:pageBreakBefore w:val="0"/>
              <w:widowControl w:val="0"/>
              <w:kinsoku/>
              <w:wordWrap/>
              <w:overflowPunct/>
              <w:topLinePunct w:val="0"/>
              <w:autoSpaceDE/>
              <w:autoSpaceDN/>
              <w:bidi w:val="0"/>
              <w:adjustRightInd w:val="0"/>
              <w:snapToGrid w:val="0"/>
              <w:spacing w:before="157" w:beforeLines="50"/>
              <w:ind w:left="0" w:leftChars="0" w:firstLine="0" w:firstLineChars="0"/>
              <w:jc w:val="both"/>
              <w:textAlignment w:val="auto"/>
              <w:outlineLvl w:val="9"/>
              <w:rPr>
                <w:rFonts w:hint="default" w:ascii="Times New Roman" w:hAnsi="Times New Roman" w:eastAsia="楷体_GB2312" w:cs="Times New Roman"/>
                <w:b/>
                <w:bCs/>
                <w:color w:val="FFFFFF"/>
                <w:sz w:val="24"/>
                <w:szCs w:val="24"/>
                <w:vertAlign w:val="baseline"/>
                <w:lang w:eastAsia="zh-CN"/>
              </w:rPr>
            </w:pPr>
            <w:r>
              <w:rPr>
                <w:rFonts w:hint="eastAsia" w:ascii="Times New Roman" w:hAnsi="Times New Roman" w:eastAsia="楷体_GB2312" w:cs="Times New Roman"/>
                <w:b/>
                <w:bCs/>
                <w:color w:val="FFFFFF"/>
                <w:sz w:val="24"/>
                <w:szCs w:val="24"/>
                <w:vertAlign w:val="baseline"/>
                <w:lang w:eastAsia="zh-CN"/>
              </w:rPr>
              <w:t>编号</w:t>
            </w:r>
          </w:p>
        </w:tc>
        <w:tc>
          <w:tcPr>
            <w:tcW w:w="4400" w:type="dxa"/>
            <w:tcBorders>
              <w:left w:val="threeDEmboss" w:color="auto" w:sz="6" w:space="0"/>
              <w:right w:val="threeDEmboss" w:color="auto" w:sz="6" w:space="0"/>
            </w:tcBorders>
            <w:shd w:val="clear" w:color="auto" w:fill="9BBB59"/>
            <w:vAlign w:val="top"/>
          </w:tcPr>
          <w:p>
            <w:pPr>
              <w:keepNext w:val="0"/>
              <w:keepLines w:val="0"/>
              <w:pageBreakBefore w:val="0"/>
              <w:widowControl w:val="0"/>
              <w:kinsoku/>
              <w:wordWrap/>
              <w:overflowPunct/>
              <w:topLinePunct w:val="0"/>
              <w:autoSpaceDE/>
              <w:autoSpaceDN/>
              <w:bidi w:val="0"/>
              <w:adjustRightInd w:val="0"/>
              <w:snapToGrid w:val="0"/>
              <w:spacing w:before="157" w:beforeLines="50"/>
              <w:jc w:val="left"/>
              <w:textAlignment w:val="auto"/>
              <w:outlineLvl w:val="9"/>
              <w:rPr>
                <w:rFonts w:hint="default" w:ascii="Times New Roman" w:hAnsi="Times New Roman" w:eastAsia="楷体_GB2312" w:cs="Times New Roman"/>
                <w:b/>
                <w:bCs/>
                <w:color w:val="FFFFFF"/>
                <w:sz w:val="28"/>
                <w:szCs w:val="28"/>
                <w:vertAlign w:val="baseline"/>
                <w:lang w:eastAsia="zh-CN"/>
              </w:rPr>
            </w:pPr>
            <w:r>
              <w:rPr>
                <w:rFonts w:hint="default" w:ascii="Times New Roman" w:hAnsi="Times New Roman" w:eastAsia="楷体_GB2312" w:cs="Times New Roman"/>
                <w:b/>
                <w:bCs/>
                <w:color w:val="FFFFFF"/>
                <w:sz w:val="28"/>
                <w:szCs w:val="28"/>
                <w:vertAlign w:val="baseline"/>
                <w:lang w:eastAsia="zh-CN"/>
              </w:rPr>
              <w:t>法律法规、规范性文件名称</w:t>
            </w:r>
          </w:p>
        </w:tc>
        <w:tc>
          <w:tcPr>
            <w:tcW w:w="3410" w:type="dxa"/>
            <w:tcBorders>
              <w:left w:val="threeDEmboss" w:color="auto" w:sz="6" w:space="0"/>
            </w:tcBorders>
            <w:shd w:val="clear" w:color="auto" w:fill="9BBB59"/>
            <w:vAlign w:val="top"/>
          </w:tcPr>
          <w:p>
            <w:pPr>
              <w:keepNext w:val="0"/>
              <w:keepLines w:val="0"/>
              <w:pageBreakBefore w:val="0"/>
              <w:widowControl w:val="0"/>
              <w:kinsoku/>
              <w:wordWrap/>
              <w:overflowPunct/>
              <w:topLinePunct w:val="0"/>
              <w:autoSpaceDE/>
              <w:autoSpaceDN/>
              <w:bidi w:val="0"/>
              <w:adjustRightInd w:val="0"/>
              <w:snapToGrid w:val="0"/>
              <w:spacing w:before="157" w:beforeLines="50"/>
              <w:jc w:val="left"/>
              <w:textAlignment w:val="auto"/>
              <w:outlineLvl w:val="9"/>
              <w:rPr>
                <w:rFonts w:hint="default" w:ascii="Times New Roman" w:hAnsi="Times New Roman" w:eastAsia="楷体_GB2312" w:cs="Times New Roman"/>
                <w:b/>
                <w:bCs/>
                <w:color w:val="FFFFFF"/>
                <w:sz w:val="28"/>
                <w:szCs w:val="28"/>
                <w:vertAlign w:val="baseline"/>
                <w:lang w:eastAsia="zh-CN"/>
              </w:rPr>
            </w:pPr>
            <w:r>
              <w:rPr>
                <w:rFonts w:hint="eastAsia" w:ascii="Times New Roman" w:hAnsi="Times New Roman" w:eastAsia="楷体_GB2312" w:cs="Times New Roman"/>
                <w:b/>
                <w:bCs/>
                <w:color w:val="FFFFFF"/>
                <w:sz w:val="28"/>
                <w:szCs w:val="28"/>
                <w:vertAlign w:val="baseline"/>
                <w:lang w:eastAsia="zh-CN"/>
              </w:rPr>
              <w:t>颁布</w:t>
            </w:r>
            <w:r>
              <w:rPr>
                <w:rFonts w:hint="eastAsia" w:eastAsia="楷体_GB2312" w:cs="Times New Roman"/>
                <w:b/>
                <w:bCs/>
                <w:color w:val="FFFFFF"/>
                <w:sz w:val="28"/>
                <w:szCs w:val="28"/>
                <w:vertAlign w:val="baseline"/>
                <w:lang w:eastAsia="zh-CN"/>
              </w:rPr>
              <w:t>号</w:t>
            </w:r>
            <w:r>
              <w:rPr>
                <w:rFonts w:hint="eastAsia" w:ascii="Times New Roman" w:hAnsi="Times New Roman" w:eastAsia="楷体_GB2312" w:cs="Times New Roman"/>
                <w:b/>
                <w:bCs/>
                <w:color w:val="FFFFFF"/>
                <w:sz w:val="28"/>
                <w:szCs w:val="28"/>
                <w:vertAlign w:val="baseline"/>
                <w:lang w:eastAsia="zh-CN"/>
              </w:rPr>
              <w:t>或修订时间</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462" w:hRule="atLeast"/>
        </w:trPr>
        <w:tc>
          <w:tcPr>
            <w:tcW w:w="8522" w:type="dxa"/>
            <w:gridSpan w:val="3"/>
            <w:tcBorders>
              <w:tl2br w:val="nil"/>
              <w:tr2bl w:val="nil"/>
            </w:tcBorders>
            <w:shd w:val="clear" w:color="auto" w:fill="E2EFDA" w:themeFill="accent6" w:themeFillTint="32"/>
          </w:tcPr>
          <w:p>
            <w:pPr>
              <w:jc w:val="center"/>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b/>
                <w:bCs/>
                <w:color w:val="000000"/>
                <w:sz w:val="28"/>
                <w:szCs w:val="28"/>
                <w:vertAlign w:val="baseline"/>
                <w:lang w:eastAsia="zh-CN"/>
              </w:rPr>
              <w:t>合同管理</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val="en-US" w:eastAsia="zh-CN"/>
              </w:rPr>
              <w:t>1</w:t>
            </w:r>
          </w:p>
        </w:tc>
        <w:tc>
          <w:tcPr>
            <w:tcW w:w="4400" w:type="dxa"/>
            <w:tcBorders>
              <w:tl2br w:val="nil"/>
              <w:tr2bl w:val="nil"/>
            </w:tcBorders>
            <w:shd w:val="clear" w:color="auto" w:fill="FFFFFF"/>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《中华人民共和国</w:t>
            </w:r>
            <w:r>
              <w:rPr>
                <w:rFonts w:hint="eastAsia" w:eastAsia="楷体_GB2312" w:cs="Times New Roman"/>
                <w:color w:val="000000"/>
                <w:sz w:val="24"/>
                <w:szCs w:val="24"/>
                <w:vertAlign w:val="baseline"/>
                <w:lang w:eastAsia="zh-CN"/>
              </w:rPr>
              <w:t>民法典（合同编）</w:t>
            </w:r>
            <w:r>
              <w:rPr>
                <w:rFonts w:hint="default" w:ascii="Times New Roman" w:hAnsi="Times New Roman" w:eastAsia="楷体_GB2312" w:cs="Times New Roman"/>
                <w:color w:val="000000"/>
                <w:sz w:val="24"/>
                <w:szCs w:val="24"/>
                <w:vertAlign w:val="baseline"/>
                <w:lang w:eastAsia="zh-CN"/>
              </w:rPr>
              <w:t>》</w:t>
            </w:r>
          </w:p>
        </w:tc>
        <w:tc>
          <w:tcPr>
            <w:tcW w:w="3410" w:type="dxa"/>
            <w:tcBorders>
              <w:tl2br w:val="nil"/>
              <w:tr2bl w:val="nil"/>
            </w:tcBorders>
            <w:shd w:val="clear" w:color="auto" w:fill="FFFFFF"/>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val="en-US" w:eastAsia="zh-CN"/>
              </w:rPr>
              <w:t>2020年国家</w:t>
            </w:r>
            <w:r>
              <w:rPr>
                <w:rFonts w:hint="eastAsia" w:ascii="Times New Roman" w:hAnsi="Times New Roman" w:eastAsia="楷体_GB2312" w:cs="Times New Roman"/>
                <w:color w:val="000000"/>
                <w:sz w:val="24"/>
                <w:szCs w:val="24"/>
                <w:vertAlign w:val="baseline"/>
                <w:lang w:eastAsia="zh-CN"/>
              </w:rPr>
              <w:t>主席第45号令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2</w:t>
            </w:r>
          </w:p>
        </w:tc>
        <w:tc>
          <w:tcPr>
            <w:tcW w:w="4400" w:type="dxa"/>
            <w:tcBorders>
              <w:tl2br w:val="nil"/>
              <w:tr2bl w:val="nil"/>
            </w:tcBorders>
            <w:shd w:val="clear" w:color="auto" w:fill="FFFFFF"/>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《最高人民法院关于审理买卖合同纠纷案件适用法律问题的解释》</w:t>
            </w:r>
          </w:p>
        </w:tc>
        <w:tc>
          <w:tcPr>
            <w:tcW w:w="3410" w:type="dxa"/>
            <w:tcBorders>
              <w:tl2br w:val="nil"/>
              <w:tr2bl w:val="nil"/>
            </w:tcBorders>
            <w:shd w:val="clear" w:color="auto" w:fill="FFFFFF"/>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val="en-US" w:eastAsia="zh-CN"/>
              </w:rPr>
              <w:t>最高人民法院2020年修改</w:t>
            </w:r>
          </w:p>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8522" w:type="dxa"/>
            <w:gridSpan w:val="3"/>
            <w:tcBorders>
              <w:tl2br w:val="nil"/>
              <w:tr2bl w:val="nil"/>
            </w:tcBorders>
            <w:shd w:val="clear" w:color="auto" w:fill="E2EFDA" w:themeFill="accent6" w:themeFillTint="32"/>
            <w:vAlign w:val="top"/>
          </w:tcPr>
          <w:p>
            <w:pPr>
              <w:jc w:val="center"/>
              <w:rPr>
                <w:rFonts w:hint="eastAsia" w:ascii="Times New Roman" w:hAnsi="Times New Roman" w:eastAsia="楷体_GB2312" w:cs="Times New Roman"/>
                <w:color w:val="000000"/>
                <w:sz w:val="24"/>
                <w:szCs w:val="24"/>
                <w:vertAlign w:val="baseline"/>
                <w:lang w:val="en-US" w:eastAsia="zh-CN"/>
              </w:rPr>
            </w:pPr>
            <w:r>
              <w:rPr>
                <w:rFonts w:hint="eastAsia" w:eastAsia="楷体_GB2312" w:cs="Times New Roman"/>
                <w:b/>
                <w:bCs/>
                <w:color w:val="000000"/>
                <w:sz w:val="28"/>
                <w:szCs w:val="28"/>
                <w:vertAlign w:val="baseline"/>
                <w:lang w:val="en-US" w:eastAsia="zh-CN"/>
              </w:rPr>
              <w:t>公司组织与行为规范</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1</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w:t>
            </w:r>
            <w:r>
              <w:rPr>
                <w:rFonts w:hint="eastAsia" w:ascii="Times New Roman" w:hAnsi="Times New Roman" w:eastAsia="楷体_GB2312" w:cs="Times New Roman"/>
                <w:color w:val="000000"/>
                <w:sz w:val="24"/>
                <w:szCs w:val="24"/>
                <w:vertAlign w:val="baseline"/>
                <w:lang w:val="en-US" w:eastAsia="zh-CN"/>
              </w:rPr>
              <w:t>中华人民共和国公司法</w:t>
            </w:r>
            <w:r>
              <w:rPr>
                <w:rFonts w:hint="eastAsia" w:ascii="Times New Roman" w:hAnsi="Times New Roman" w:eastAsia="楷体_GB2312" w:cs="Times New Roman"/>
                <w:color w:val="000000"/>
                <w:sz w:val="24"/>
                <w:szCs w:val="24"/>
                <w:vertAlign w:val="baseline"/>
                <w:lang w:eastAsia="zh-CN"/>
              </w:rPr>
              <w:t>》</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全国人大常委会2018年修正</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2</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w:t>
            </w:r>
            <w:r>
              <w:rPr>
                <w:rFonts w:hint="eastAsia" w:ascii="Times New Roman" w:hAnsi="Times New Roman" w:eastAsia="楷体_GB2312" w:cs="Times New Roman"/>
                <w:color w:val="000000"/>
                <w:sz w:val="24"/>
                <w:szCs w:val="24"/>
                <w:vertAlign w:val="baseline"/>
                <w:lang w:eastAsia="zh-CN"/>
              </w:rPr>
              <w:t>最高人民法院关于适用</w:t>
            </w:r>
            <w:r>
              <w:rPr>
                <w:rFonts w:hint="eastAsia" w:eastAsia="楷体_GB2312" w:cs="Times New Roman"/>
                <w:color w:val="000000"/>
                <w:sz w:val="24"/>
                <w:szCs w:val="24"/>
                <w:vertAlign w:val="baseline"/>
                <w:lang w:val="en-US" w:eastAsia="zh-CN"/>
              </w:rPr>
              <w:t>&lt;</w:t>
            </w:r>
            <w:r>
              <w:rPr>
                <w:rFonts w:hint="eastAsia" w:ascii="Times New Roman" w:hAnsi="Times New Roman" w:eastAsia="楷体_GB2312" w:cs="Times New Roman"/>
                <w:color w:val="000000"/>
                <w:sz w:val="24"/>
                <w:szCs w:val="24"/>
                <w:vertAlign w:val="baseline"/>
                <w:lang w:eastAsia="zh-CN"/>
              </w:rPr>
              <w:t>中华人民共和国公司法</w:t>
            </w:r>
            <w:r>
              <w:rPr>
                <w:rFonts w:hint="eastAsia" w:eastAsia="楷体_GB2312" w:cs="Times New Roman"/>
                <w:color w:val="000000"/>
                <w:sz w:val="24"/>
                <w:szCs w:val="24"/>
                <w:vertAlign w:val="baseline"/>
                <w:lang w:val="en-US" w:eastAsia="zh-CN"/>
              </w:rPr>
              <w:t>&gt;</w:t>
            </w:r>
            <w:r>
              <w:rPr>
                <w:rFonts w:hint="eastAsia" w:ascii="Times New Roman" w:hAnsi="Times New Roman" w:eastAsia="楷体_GB2312" w:cs="Times New Roman"/>
                <w:color w:val="000000"/>
                <w:sz w:val="24"/>
                <w:szCs w:val="24"/>
                <w:vertAlign w:val="baseline"/>
                <w:lang w:eastAsia="zh-CN"/>
              </w:rPr>
              <w:t>若干问题的规定（</w:t>
            </w:r>
            <w:r>
              <w:rPr>
                <w:rFonts w:hint="eastAsia" w:eastAsia="楷体_GB2312" w:cs="Times New Roman"/>
                <w:color w:val="000000"/>
                <w:sz w:val="24"/>
                <w:szCs w:val="24"/>
                <w:vertAlign w:val="baseline"/>
                <w:lang w:eastAsia="zh-CN"/>
              </w:rPr>
              <w:t>一</w:t>
            </w:r>
            <w:r>
              <w:rPr>
                <w:rFonts w:hint="eastAsia" w:ascii="Times New Roman" w:hAnsi="Times New Roman" w:eastAsia="楷体_GB2312" w:cs="Times New Roman"/>
                <w:color w:val="000000"/>
                <w:sz w:val="24"/>
                <w:szCs w:val="24"/>
                <w:vertAlign w:val="baseline"/>
                <w:lang w:eastAsia="zh-CN"/>
              </w:rPr>
              <w:t>）</w:t>
            </w:r>
            <w:r>
              <w:rPr>
                <w:rFonts w:hint="eastAsia" w:eastAsia="楷体_GB2312" w:cs="Times New Roman"/>
                <w:color w:val="000000"/>
                <w:sz w:val="24"/>
                <w:szCs w:val="24"/>
                <w:vertAlign w:val="baseline"/>
                <w:lang w:eastAsia="zh-CN"/>
              </w:rPr>
              <w:t>》</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eastAsia="zh-CN"/>
              </w:rPr>
              <w:t>法释〔2006〕3号</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3</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w:t>
            </w:r>
            <w:r>
              <w:rPr>
                <w:rFonts w:hint="eastAsia" w:ascii="Times New Roman" w:hAnsi="Times New Roman" w:eastAsia="楷体_GB2312" w:cs="Times New Roman"/>
                <w:color w:val="000000"/>
                <w:sz w:val="24"/>
                <w:szCs w:val="24"/>
                <w:vertAlign w:val="baseline"/>
                <w:lang w:eastAsia="zh-CN"/>
              </w:rPr>
              <w:t>最高人民法院关于适用</w:t>
            </w:r>
            <w:r>
              <w:rPr>
                <w:rFonts w:hint="eastAsia" w:eastAsia="楷体_GB2312" w:cs="Times New Roman"/>
                <w:color w:val="000000"/>
                <w:sz w:val="24"/>
                <w:szCs w:val="24"/>
                <w:vertAlign w:val="baseline"/>
                <w:lang w:val="en-US" w:eastAsia="zh-CN"/>
              </w:rPr>
              <w:t>&lt;</w:t>
            </w:r>
            <w:r>
              <w:rPr>
                <w:rFonts w:hint="eastAsia" w:ascii="Times New Roman" w:hAnsi="Times New Roman" w:eastAsia="楷体_GB2312" w:cs="Times New Roman"/>
                <w:color w:val="000000"/>
                <w:sz w:val="24"/>
                <w:szCs w:val="24"/>
                <w:vertAlign w:val="baseline"/>
                <w:lang w:eastAsia="zh-CN"/>
              </w:rPr>
              <w:t>中华人民共和国公司法</w:t>
            </w:r>
            <w:r>
              <w:rPr>
                <w:rFonts w:hint="eastAsia" w:eastAsia="楷体_GB2312" w:cs="Times New Roman"/>
                <w:color w:val="000000"/>
                <w:sz w:val="24"/>
                <w:szCs w:val="24"/>
                <w:vertAlign w:val="baseline"/>
                <w:lang w:val="en-US" w:eastAsia="zh-CN"/>
              </w:rPr>
              <w:t>&gt;</w:t>
            </w:r>
            <w:r>
              <w:rPr>
                <w:rFonts w:hint="eastAsia" w:ascii="Times New Roman" w:hAnsi="Times New Roman" w:eastAsia="楷体_GB2312" w:cs="Times New Roman"/>
                <w:color w:val="000000"/>
                <w:sz w:val="24"/>
                <w:szCs w:val="24"/>
                <w:vertAlign w:val="baseline"/>
                <w:lang w:eastAsia="zh-CN"/>
              </w:rPr>
              <w:t>若干问题的规定（</w:t>
            </w:r>
            <w:r>
              <w:rPr>
                <w:rFonts w:hint="eastAsia" w:eastAsia="楷体_GB2312" w:cs="Times New Roman"/>
                <w:color w:val="000000"/>
                <w:sz w:val="24"/>
                <w:szCs w:val="24"/>
                <w:vertAlign w:val="baseline"/>
                <w:lang w:eastAsia="zh-CN"/>
              </w:rPr>
              <w:t>二</w:t>
            </w:r>
            <w:r>
              <w:rPr>
                <w:rFonts w:hint="eastAsia" w:ascii="Times New Roman" w:hAnsi="Times New Roman" w:eastAsia="楷体_GB2312" w:cs="Times New Roman"/>
                <w:color w:val="000000"/>
                <w:sz w:val="24"/>
                <w:szCs w:val="24"/>
                <w:vertAlign w:val="baseline"/>
                <w:lang w:eastAsia="zh-CN"/>
              </w:rPr>
              <w:t>）</w:t>
            </w:r>
            <w:r>
              <w:rPr>
                <w:rFonts w:hint="eastAsia" w:eastAsia="楷体_GB2312" w:cs="Times New Roman"/>
                <w:color w:val="000000"/>
                <w:sz w:val="24"/>
                <w:szCs w:val="24"/>
                <w:vertAlign w:val="baseline"/>
                <w:lang w:eastAsia="zh-CN"/>
              </w:rPr>
              <w:t>》</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eastAsia="zh-CN"/>
              </w:rPr>
              <w:t>法释〔2008〕6号</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4</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w:t>
            </w:r>
            <w:r>
              <w:rPr>
                <w:rFonts w:hint="eastAsia" w:ascii="Times New Roman" w:hAnsi="Times New Roman" w:eastAsia="楷体_GB2312" w:cs="Times New Roman"/>
                <w:color w:val="000000"/>
                <w:sz w:val="24"/>
                <w:szCs w:val="24"/>
                <w:vertAlign w:val="baseline"/>
                <w:lang w:eastAsia="zh-CN"/>
              </w:rPr>
              <w:t>最高人民法院关于适用</w:t>
            </w:r>
            <w:r>
              <w:rPr>
                <w:rFonts w:hint="eastAsia" w:eastAsia="楷体_GB2312" w:cs="Times New Roman"/>
                <w:color w:val="000000"/>
                <w:sz w:val="24"/>
                <w:szCs w:val="24"/>
                <w:vertAlign w:val="baseline"/>
                <w:lang w:val="en-US" w:eastAsia="zh-CN"/>
              </w:rPr>
              <w:t>&lt;</w:t>
            </w:r>
            <w:r>
              <w:rPr>
                <w:rFonts w:hint="eastAsia" w:ascii="Times New Roman" w:hAnsi="Times New Roman" w:eastAsia="楷体_GB2312" w:cs="Times New Roman"/>
                <w:color w:val="000000"/>
                <w:sz w:val="24"/>
                <w:szCs w:val="24"/>
                <w:vertAlign w:val="baseline"/>
                <w:lang w:eastAsia="zh-CN"/>
              </w:rPr>
              <w:t>中华人民共和国公司法</w:t>
            </w:r>
            <w:r>
              <w:rPr>
                <w:rFonts w:hint="eastAsia" w:eastAsia="楷体_GB2312" w:cs="Times New Roman"/>
                <w:color w:val="000000"/>
                <w:sz w:val="24"/>
                <w:szCs w:val="24"/>
                <w:vertAlign w:val="baseline"/>
                <w:lang w:val="en-US" w:eastAsia="zh-CN"/>
              </w:rPr>
              <w:t>&gt;</w:t>
            </w:r>
            <w:r>
              <w:rPr>
                <w:rFonts w:hint="eastAsia" w:ascii="Times New Roman" w:hAnsi="Times New Roman" w:eastAsia="楷体_GB2312" w:cs="Times New Roman"/>
                <w:color w:val="000000"/>
                <w:sz w:val="24"/>
                <w:szCs w:val="24"/>
                <w:vertAlign w:val="baseline"/>
                <w:lang w:eastAsia="zh-CN"/>
              </w:rPr>
              <w:t>若干问题的规定（</w:t>
            </w:r>
            <w:r>
              <w:rPr>
                <w:rFonts w:hint="eastAsia" w:eastAsia="楷体_GB2312" w:cs="Times New Roman"/>
                <w:color w:val="000000"/>
                <w:sz w:val="24"/>
                <w:szCs w:val="24"/>
                <w:vertAlign w:val="baseline"/>
                <w:lang w:eastAsia="zh-CN"/>
              </w:rPr>
              <w:t>三</w:t>
            </w:r>
            <w:r>
              <w:rPr>
                <w:rFonts w:hint="eastAsia" w:ascii="Times New Roman" w:hAnsi="Times New Roman" w:eastAsia="楷体_GB2312" w:cs="Times New Roman"/>
                <w:color w:val="000000"/>
                <w:sz w:val="24"/>
                <w:szCs w:val="24"/>
                <w:vertAlign w:val="baseline"/>
                <w:lang w:eastAsia="zh-CN"/>
              </w:rPr>
              <w:t>）</w:t>
            </w:r>
            <w:r>
              <w:rPr>
                <w:rFonts w:hint="eastAsia" w:eastAsia="楷体_GB2312" w:cs="Times New Roman"/>
                <w:color w:val="000000"/>
                <w:sz w:val="24"/>
                <w:szCs w:val="24"/>
                <w:vertAlign w:val="baseline"/>
                <w:lang w:eastAsia="zh-CN"/>
              </w:rPr>
              <w:t>》</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eastAsia="zh-CN"/>
              </w:rPr>
              <w:t>法释〔2011〕3号</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5</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w:t>
            </w:r>
            <w:r>
              <w:rPr>
                <w:rFonts w:hint="eastAsia" w:ascii="Times New Roman" w:hAnsi="Times New Roman" w:eastAsia="楷体_GB2312" w:cs="Times New Roman"/>
                <w:color w:val="000000"/>
                <w:sz w:val="24"/>
                <w:szCs w:val="24"/>
                <w:vertAlign w:val="baseline"/>
                <w:lang w:eastAsia="zh-CN"/>
              </w:rPr>
              <w:t>最高人民法院关于适用</w:t>
            </w:r>
            <w:r>
              <w:rPr>
                <w:rFonts w:hint="eastAsia" w:eastAsia="楷体_GB2312" w:cs="Times New Roman"/>
                <w:color w:val="000000"/>
                <w:sz w:val="24"/>
                <w:szCs w:val="24"/>
                <w:vertAlign w:val="baseline"/>
                <w:lang w:val="en-US" w:eastAsia="zh-CN"/>
              </w:rPr>
              <w:t>&lt;</w:t>
            </w:r>
            <w:r>
              <w:rPr>
                <w:rFonts w:hint="eastAsia" w:ascii="Times New Roman" w:hAnsi="Times New Roman" w:eastAsia="楷体_GB2312" w:cs="Times New Roman"/>
                <w:color w:val="000000"/>
                <w:sz w:val="24"/>
                <w:szCs w:val="24"/>
                <w:vertAlign w:val="baseline"/>
                <w:lang w:eastAsia="zh-CN"/>
              </w:rPr>
              <w:t>中华人民共和国公司法</w:t>
            </w:r>
            <w:r>
              <w:rPr>
                <w:rFonts w:hint="eastAsia" w:eastAsia="楷体_GB2312" w:cs="Times New Roman"/>
                <w:color w:val="000000"/>
                <w:sz w:val="24"/>
                <w:szCs w:val="24"/>
                <w:vertAlign w:val="baseline"/>
                <w:lang w:val="en-US" w:eastAsia="zh-CN"/>
              </w:rPr>
              <w:t>&gt;</w:t>
            </w:r>
            <w:r>
              <w:rPr>
                <w:rFonts w:hint="eastAsia" w:ascii="Times New Roman" w:hAnsi="Times New Roman" w:eastAsia="楷体_GB2312" w:cs="Times New Roman"/>
                <w:color w:val="000000"/>
                <w:sz w:val="24"/>
                <w:szCs w:val="24"/>
                <w:vertAlign w:val="baseline"/>
                <w:lang w:eastAsia="zh-CN"/>
              </w:rPr>
              <w:t>若干问题的规定（</w:t>
            </w:r>
            <w:r>
              <w:rPr>
                <w:rFonts w:hint="eastAsia" w:eastAsia="楷体_GB2312" w:cs="Times New Roman"/>
                <w:color w:val="000000"/>
                <w:sz w:val="24"/>
                <w:szCs w:val="24"/>
                <w:vertAlign w:val="baseline"/>
                <w:lang w:eastAsia="zh-CN"/>
              </w:rPr>
              <w:t>四</w:t>
            </w:r>
            <w:r>
              <w:rPr>
                <w:rFonts w:hint="eastAsia" w:ascii="Times New Roman" w:hAnsi="Times New Roman" w:eastAsia="楷体_GB2312" w:cs="Times New Roman"/>
                <w:color w:val="000000"/>
                <w:sz w:val="24"/>
                <w:szCs w:val="24"/>
                <w:vertAlign w:val="baseline"/>
                <w:lang w:eastAsia="zh-CN"/>
              </w:rPr>
              <w:t>）</w:t>
            </w:r>
            <w:r>
              <w:rPr>
                <w:rFonts w:hint="eastAsia" w:eastAsia="楷体_GB2312" w:cs="Times New Roman"/>
                <w:color w:val="000000"/>
                <w:sz w:val="24"/>
                <w:szCs w:val="24"/>
                <w:vertAlign w:val="baseline"/>
                <w:lang w:eastAsia="zh-CN"/>
              </w:rPr>
              <w:t>》</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法释〔2017〕16号</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6</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w:t>
            </w:r>
            <w:r>
              <w:rPr>
                <w:rFonts w:hint="eastAsia" w:ascii="Times New Roman" w:hAnsi="Times New Roman" w:eastAsia="楷体_GB2312" w:cs="Times New Roman"/>
                <w:color w:val="000000"/>
                <w:sz w:val="24"/>
                <w:szCs w:val="24"/>
                <w:vertAlign w:val="baseline"/>
                <w:lang w:eastAsia="zh-CN"/>
              </w:rPr>
              <w:t>最高人民法院关于适用</w:t>
            </w:r>
            <w:r>
              <w:rPr>
                <w:rFonts w:hint="eastAsia" w:eastAsia="楷体_GB2312" w:cs="Times New Roman"/>
                <w:color w:val="000000"/>
                <w:sz w:val="24"/>
                <w:szCs w:val="24"/>
                <w:vertAlign w:val="baseline"/>
                <w:lang w:val="en-US" w:eastAsia="zh-CN"/>
              </w:rPr>
              <w:t>&lt;</w:t>
            </w:r>
            <w:r>
              <w:rPr>
                <w:rFonts w:hint="eastAsia" w:ascii="Times New Roman" w:hAnsi="Times New Roman" w:eastAsia="楷体_GB2312" w:cs="Times New Roman"/>
                <w:color w:val="000000"/>
                <w:sz w:val="24"/>
                <w:szCs w:val="24"/>
                <w:vertAlign w:val="baseline"/>
                <w:lang w:eastAsia="zh-CN"/>
              </w:rPr>
              <w:t>中华人民共和国公司法</w:t>
            </w:r>
            <w:r>
              <w:rPr>
                <w:rFonts w:hint="eastAsia" w:eastAsia="楷体_GB2312" w:cs="Times New Roman"/>
                <w:color w:val="000000"/>
                <w:sz w:val="24"/>
                <w:szCs w:val="24"/>
                <w:vertAlign w:val="baseline"/>
                <w:lang w:val="en-US" w:eastAsia="zh-CN"/>
              </w:rPr>
              <w:t>&gt;</w:t>
            </w:r>
            <w:r>
              <w:rPr>
                <w:rFonts w:hint="eastAsia" w:ascii="Times New Roman" w:hAnsi="Times New Roman" w:eastAsia="楷体_GB2312" w:cs="Times New Roman"/>
                <w:color w:val="000000"/>
                <w:sz w:val="24"/>
                <w:szCs w:val="24"/>
                <w:vertAlign w:val="baseline"/>
                <w:lang w:eastAsia="zh-CN"/>
              </w:rPr>
              <w:t>若干问题的规定（五）</w:t>
            </w:r>
            <w:r>
              <w:rPr>
                <w:rFonts w:hint="eastAsia" w:eastAsia="楷体_GB2312" w:cs="Times New Roman"/>
                <w:color w:val="000000"/>
                <w:sz w:val="24"/>
                <w:szCs w:val="24"/>
                <w:vertAlign w:val="baseline"/>
                <w:lang w:eastAsia="zh-CN"/>
              </w:rPr>
              <w:t>》</w:t>
            </w:r>
          </w:p>
        </w:tc>
        <w:tc>
          <w:tcPr>
            <w:tcW w:w="3410" w:type="dxa"/>
            <w:tcBorders>
              <w:tl2br w:val="nil"/>
              <w:tr2bl w:val="nil"/>
            </w:tcBorders>
            <w:shd w:val="clear" w:color="auto" w:fill="FFFFFF"/>
            <w:vAlign w:val="top"/>
          </w:tcPr>
          <w:p>
            <w:pPr>
              <w:ind w:left="0" w:leftChars="0" w:firstLine="0" w:firstLineChars="0"/>
              <w:jc w:val="both"/>
              <w:rPr>
                <w:rFonts w:hint="eastAsia"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eastAsia="zh-CN"/>
              </w:rPr>
              <w:t>法释〔2019〕7号</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7</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w:t>
            </w:r>
            <w:r>
              <w:rPr>
                <w:rFonts w:hint="eastAsia" w:ascii="Times New Roman" w:hAnsi="Times New Roman" w:eastAsia="楷体_GB2312" w:cs="Times New Roman"/>
                <w:color w:val="000000"/>
                <w:sz w:val="24"/>
                <w:szCs w:val="24"/>
                <w:vertAlign w:val="baseline"/>
                <w:lang w:eastAsia="zh-CN"/>
              </w:rPr>
              <w:t>中华人民共和国企业破产法</w:t>
            </w:r>
            <w:r>
              <w:rPr>
                <w:rFonts w:hint="eastAsia" w:eastAsia="楷体_GB2312" w:cs="Times New Roman"/>
                <w:color w:val="000000"/>
                <w:sz w:val="24"/>
                <w:szCs w:val="24"/>
                <w:vertAlign w:val="baseline"/>
                <w:lang w:eastAsia="zh-CN"/>
              </w:rPr>
              <w:t>》</w:t>
            </w:r>
            <w:r>
              <w:rPr>
                <w:rFonts w:hint="eastAsia" w:ascii="Times New Roman" w:hAnsi="Times New Roman" w:eastAsia="楷体_GB2312" w:cs="Times New Roman"/>
                <w:color w:val="000000"/>
                <w:sz w:val="24"/>
                <w:szCs w:val="24"/>
                <w:vertAlign w:val="baseline"/>
                <w:lang w:eastAsia="zh-CN"/>
              </w:rPr>
              <w:t xml:space="preserve"> </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2007年</w:t>
            </w:r>
            <w:r>
              <w:rPr>
                <w:rFonts w:hint="eastAsia" w:eastAsia="楷体_GB2312" w:cs="Times New Roman"/>
                <w:color w:val="000000"/>
                <w:sz w:val="24"/>
                <w:szCs w:val="24"/>
                <w:vertAlign w:val="baseline"/>
                <w:lang w:eastAsia="zh-CN"/>
              </w:rPr>
              <w:t>国家</w:t>
            </w:r>
            <w:r>
              <w:rPr>
                <w:rFonts w:hint="eastAsia" w:ascii="Times New Roman" w:hAnsi="Times New Roman" w:eastAsia="楷体_GB2312" w:cs="Times New Roman"/>
                <w:color w:val="000000"/>
                <w:sz w:val="24"/>
                <w:szCs w:val="24"/>
                <w:vertAlign w:val="baseline"/>
                <w:lang w:eastAsia="zh-CN"/>
              </w:rPr>
              <w:t>主席第</w:t>
            </w:r>
            <w:r>
              <w:rPr>
                <w:rFonts w:hint="eastAsia" w:eastAsia="楷体_GB2312" w:cs="Times New Roman"/>
                <w:color w:val="000000"/>
                <w:sz w:val="24"/>
                <w:szCs w:val="24"/>
                <w:vertAlign w:val="baseline"/>
                <w:lang w:val="en-US" w:eastAsia="zh-CN"/>
              </w:rPr>
              <w:t>54</w:t>
            </w:r>
            <w:r>
              <w:rPr>
                <w:rFonts w:hint="eastAsia" w:ascii="Times New Roman" w:hAnsi="Times New Roman" w:eastAsia="楷体_GB2312" w:cs="Times New Roman"/>
                <w:color w:val="000000"/>
                <w:sz w:val="24"/>
                <w:szCs w:val="24"/>
                <w:vertAlign w:val="baseline"/>
                <w:lang w:eastAsia="zh-CN"/>
              </w:rPr>
              <w:t>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8</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w:t>
            </w:r>
            <w:r>
              <w:rPr>
                <w:rFonts w:hint="eastAsia" w:ascii="Times New Roman" w:hAnsi="Times New Roman" w:eastAsia="楷体_GB2312" w:cs="Times New Roman"/>
                <w:color w:val="000000"/>
                <w:sz w:val="24"/>
                <w:szCs w:val="24"/>
                <w:vertAlign w:val="baseline"/>
                <w:lang w:eastAsia="zh-CN"/>
              </w:rPr>
              <w:t xml:space="preserve">最高人民法院关于适用&lt;中华人民共和国企业破产法&gt;若干问题的规定（一）》 </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eastAsia="zh-CN"/>
              </w:rPr>
              <w:t>法释〔2011〕22号</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9</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 xml:space="preserve">《最高人民法院关于适用&lt;中华人民共和国企业破产法&gt;若干问题的规定（二）》 </w:t>
            </w:r>
          </w:p>
        </w:tc>
        <w:tc>
          <w:tcPr>
            <w:tcW w:w="3410" w:type="dxa"/>
            <w:tcBorders>
              <w:tl2br w:val="nil"/>
              <w:tr2bl w:val="nil"/>
            </w:tcBorders>
            <w:shd w:val="clear" w:color="auto" w:fill="FFFFFF"/>
            <w:vAlign w:val="top"/>
          </w:tcPr>
          <w:p>
            <w:pPr>
              <w:ind w:left="0" w:leftChars="0" w:firstLine="0" w:firstLineChars="0"/>
              <w:jc w:val="both"/>
              <w:rPr>
                <w:rFonts w:hint="eastAsia"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eastAsia="zh-CN"/>
              </w:rPr>
              <w:t>最高人民法院2020年修正</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10</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《最高人民法院关于适用〈中华人民共和国企业破产法〉若干问题的规定(三)》</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eastAsia="zh-CN"/>
              </w:rPr>
              <w:t>最高人民法院2020年修正</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8522" w:type="dxa"/>
            <w:gridSpan w:val="3"/>
            <w:tcBorders>
              <w:tl2br w:val="nil"/>
              <w:tr2bl w:val="nil"/>
            </w:tcBorders>
            <w:shd w:val="clear" w:color="auto" w:fill="E2EFDA" w:themeFill="accent6" w:themeFillTint="32"/>
            <w:vAlign w:val="center"/>
          </w:tcPr>
          <w:p>
            <w:pPr>
              <w:jc w:val="center"/>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b/>
                <w:bCs/>
                <w:color w:val="000000"/>
                <w:sz w:val="28"/>
                <w:szCs w:val="28"/>
                <w:vertAlign w:val="baseline"/>
                <w:lang w:val="en-US" w:eastAsia="zh-CN"/>
              </w:rPr>
              <w:t>招标投标</w:t>
            </w:r>
            <w:bookmarkStart w:id="0" w:name="_GoBack"/>
            <w:bookmarkEnd w:id="0"/>
            <w:r>
              <w:rPr>
                <w:rFonts w:hint="eastAsia" w:ascii="Times New Roman" w:hAnsi="Times New Roman" w:eastAsia="楷体_GB2312" w:cs="Times New Roman"/>
                <w:b/>
                <w:bCs/>
                <w:color w:val="000000"/>
                <w:sz w:val="28"/>
                <w:szCs w:val="28"/>
                <w:vertAlign w:val="baseline"/>
                <w:lang w:val="en-US" w:eastAsia="zh-CN"/>
              </w:rPr>
              <w:t>管理</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1</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《中华人民共和国招标投标法》</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全国人大常委会</w:t>
            </w:r>
            <w:r>
              <w:rPr>
                <w:rFonts w:hint="eastAsia" w:ascii="Times New Roman" w:hAnsi="Times New Roman" w:eastAsia="楷体_GB2312" w:cs="Times New Roman"/>
                <w:color w:val="000000"/>
                <w:sz w:val="24"/>
                <w:szCs w:val="24"/>
                <w:vertAlign w:val="baseline"/>
                <w:lang w:val="en-US" w:eastAsia="zh-CN"/>
              </w:rPr>
              <w:t>2017年修正</w:t>
            </w:r>
          </w:p>
          <w:p>
            <w:pPr>
              <w:ind w:left="0" w:leftChars="0" w:firstLine="0" w:firstLineChars="0"/>
              <w:jc w:val="left"/>
              <w:rPr>
                <w:rFonts w:hint="default"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val="en-US" w:eastAsia="zh-CN"/>
              </w:rPr>
              <w:t>2017年施行</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2</w:t>
            </w:r>
          </w:p>
        </w:tc>
        <w:tc>
          <w:tcPr>
            <w:tcW w:w="4400" w:type="dxa"/>
            <w:tcBorders>
              <w:tl2br w:val="nil"/>
              <w:tr2bl w:val="nil"/>
            </w:tcBorders>
            <w:shd w:val="clear" w:color="auto" w:fill="FFFFFF"/>
            <w:vAlign w:val="top"/>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《中华人民共和国招标投标法实施条例》</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国务院</w:t>
            </w:r>
            <w:r>
              <w:rPr>
                <w:rFonts w:hint="eastAsia" w:ascii="Times New Roman" w:hAnsi="Times New Roman" w:eastAsia="楷体_GB2312" w:cs="Times New Roman"/>
                <w:color w:val="000000"/>
                <w:sz w:val="24"/>
                <w:szCs w:val="24"/>
                <w:vertAlign w:val="baseline"/>
                <w:lang w:val="en-US" w:eastAsia="zh-CN"/>
              </w:rPr>
              <w:t>2019年修订</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3</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《必须招标的工程项目规定》</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val="en-US" w:eastAsia="zh-CN"/>
              </w:rPr>
              <w:t>2018年国家发展和改革委员会第16号令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4</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《工程建设项目施工招标投标办法》</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国家发改委、工业和信息化部、财政部、住房城乡建设部、交通运输部、铁道部、水利部、广电总局和民航局</w:t>
            </w:r>
            <w:r>
              <w:rPr>
                <w:rFonts w:hint="eastAsia" w:ascii="Times New Roman" w:hAnsi="Times New Roman" w:eastAsia="楷体_GB2312" w:cs="Times New Roman"/>
                <w:color w:val="000000"/>
                <w:sz w:val="24"/>
                <w:szCs w:val="24"/>
                <w:vertAlign w:val="baseline"/>
                <w:lang w:val="en-US" w:eastAsia="zh-CN"/>
              </w:rPr>
              <w:t>2013年修正</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highlight w:val="none"/>
                <w:vertAlign w:val="baseline"/>
                <w:lang w:val="en-US" w:eastAsia="zh-CN"/>
              </w:rPr>
            </w:pPr>
            <w:r>
              <w:rPr>
                <w:rFonts w:hint="eastAsia" w:eastAsia="楷体_GB2312" w:cs="Times New Roman"/>
                <w:color w:val="000000"/>
                <w:sz w:val="24"/>
                <w:szCs w:val="24"/>
                <w:highlight w:val="none"/>
                <w:vertAlign w:val="baseline"/>
                <w:lang w:val="en-US" w:eastAsia="zh-CN"/>
              </w:rPr>
              <w:t>5</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《工程建设项目货物招标投标办法》</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国家发改委、工业和信息化部、财政部、住房城乡建设部、交通运输部、铁道部、水利部、广电总局和民航局</w:t>
            </w:r>
            <w:r>
              <w:rPr>
                <w:rFonts w:hint="eastAsia" w:ascii="Times New Roman" w:hAnsi="Times New Roman" w:eastAsia="楷体_GB2312" w:cs="Times New Roman"/>
                <w:color w:val="000000"/>
                <w:sz w:val="24"/>
                <w:szCs w:val="24"/>
                <w:vertAlign w:val="baseline"/>
                <w:lang w:val="en-US" w:eastAsia="zh-CN"/>
              </w:rPr>
              <w:t>2013年修正</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6</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《机电产品国际招标投标实施办法（试行）》</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val="en-US" w:eastAsia="zh-CN"/>
              </w:rPr>
              <w:t>2014年商务部第1号令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7</w:t>
            </w:r>
          </w:p>
        </w:tc>
        <w:tc>
          <w:tcPr>
            <w:tcW w:w="4400" w:type="dxa"/>
            <w:tcBorders>
              <w:tl2br w:val="nil"/>
              <w:tr2bl w:val="nil"/>
            </w:tcBorders>
            <w:shd w:val="clear" w:color="auto" w:fill="FFFFFF"/>
            <w:vAlign w:val="center"/>
          </w:tcPr>
          <w:p>
            <w:pPr>
              <w:ind w:left="0" w:leftChars="0" w:firstLine="0" w:firstLineChars="0"/>
              <w:jc w:val="both"/>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《评标委员会和评标方法暂行规定》</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国家发改委、工业和信息化部、财政部、住房城乡建设部、交通运输部、铁道部、水利部、广电总局和民航局</w:t>
            </w:r>
            <w:r>
              <w:rPr>
                <w:rFonts w:hint="eastAsia" w:ascii="Times New Roman" w:hAnsi="Times New Roman" w:eastAsia="楷体_GB2312" w:cs="Times New Roman"/>
                <w:color w:val="000000"/>
                <w:sz w:val="24"/>
                <w:szCs w:val="24"/>
                <w:vertAlign w:val="baseline"/>
                <w:lang w:val="en-US" w:eastAsia="zh-CN"/>
              </w:rPr>
              <w:t>2013年修正</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8522" w:type="dxa"/>
            <w:gridSpan w:val="3"/>
            <w:tcBorders>
              <w:tl2br w:val="nil"/>
              <w:tr2bl w:val="nil"/>
            </w:tcBorders>
            <w:shd w:val="clear" w:color="auto" w:fill="E2EFDA" w:themeFill="accent6" w:themeFillTint="32"/>
            <w:vAlign w:val="center"/>
          </w:tcPr>
          <w:p>
            <w:pPr>
              <w:ind w:left="0" w:leftChars="0" w:firstLine="0" w:firstLineChars="0"/>
              <w:jc w:val="center"/>
              <w:rPr>
                <w:rFonts w:hint="eastAsia" w:ascii="Times New Roman" w:hAnsi="Times New Roman" w:eastAsia="楷体_GB2312" w:cs="Times New Roman"/>
                <w:b/>
                <w:bCs/>
                <w:color w:val="000000"/>
                <w:sz w:val="28"/>
                <w:szCs w:val="28"/>
                <w:vertAlign w:val="baseline"/>
                <w:lang w:val="en-US" w:eastAsia="zh-CN"/>
              </w:rPr>
            </w:pPr>
            <w:r>
              <w:rPr>
                <w:rFonts w:hint="eastAsia" w:eastAsia="楷体_GB2312" w:cs="Times New Roman"/>
                <w:b/>
                <w:bCs/>
                <w:color w:val="000000"/>
                <w:sz w:val="28"/>
                <w:szCs w:val="28"/>
                <w:vertAlign w:val="baseline"/>
                <w:lang w:val="en-US" w:eastAsia="zh-CN"/>
              </w:rPr>
              <w:t>政府采购</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val="en-US" w:eastAsia="zh-CN"/>
              </w:rPr>
              <w:t>1</w:t>
            </w:r>
          </w:p>
        </w:tc>
        <w:tc>
          <w:tcPr>
            <w:tcW w:w="440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《中华人民共和国政府采购法》</w:t>
            </w:r>
          </w:p>
        </w:tc>
        <w:tc>
          <w:tcPr>
            <w:tcW w:w="3410" w:type="dxa"/>
            <w:tcBorders>
              <w:tl2br w:val="nil"/>
              <w:tr2bl w:val="nil"/>
            </w:tcBorders>
            <w:shd w:val="clear" w:color="auto" w:fill="FFFFFF"/>
            <w:vAlign w:val="top"/>
          </w:tcPr>
          <w:p>
            <w:pPr>
              <w:ind w:left="0" w:leftChars="0" w:firstLine="0" w:firstLineChars="0"/>
              <w:jc w:val="left"/>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全国人大常委会</w:t>
            </w:r>
            <w:r>
              <w:rPr>
                <w:rFonts w:hint="eastAsia" w:ascii="Times New Roman" w:hAnsi="Times New Roman" w:eastAsia="楷体_GB2312" w:cs="Times New Roman"/>
                <w:color w:val="000000"/>
                <w:sz w:val="24"/>
                <w:szCs w:val="24"/>
                <w:vertAlign w:val="baseline"/>
                <w:lang w:val="en-US" w:eastAsia="zh-CN"/>
              </w:rPr>
              <w:t>2014年修正</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2</w:t>
            </w:r>
          </w:p>
        </w:tc>
        <w:tc>
          <w:tcPr>
            <w:tcW w:w="440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《中华人民共和国政府采购法实施条例》</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val="en-US" w:eastAsia="zh-CN"/>
              </w:rPr>
              <w:t>2015年国务院第658号令</w:t>
            </w:r>
          </w:p>
          <w:p>
            <w:pPr>
              <w:ind w:left="0" w:leftChars="0" w:firstLine="0" w:firstLineChars="0"/>
              <w:jc w:val="left"/>
              <w:rPr>
                <w:rFonts w:hint="eastAsia" w:eastAsia="楷体_GB2312" w:cs="Times New Roman"/>
                <w:color w:val="000000"/>
                <w:sz w:val="24"/>
                <w:szCs w:val="24"/>
                <w:vertAlign w:val="baseline"/>
                <w:lang w:val="en-US" w:eastAsia="zh-CN"/>
              </w:rPr>
            </w:pP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3</w:t>
            </w:r>
          </w:p>
        </w:tc>
        <w:tc>
          <w:tcPr>
            <w:tcW w:w="440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《政府购买服务管理办法》</w:t>
            </w:r>
          </w:p>
        </w:tc>
        <w:tc>
          <w:tcPr>
            <w:tcW w:w="3410" w:type="dxa"/>
            <w:tcBorders>
              <w:tl2br w:val="nil"/>
              <w:tr2bl w:val="nil"/>
            </w:tcBorders>
            <w:shd w:val="clear" w:color="auto" w:fill="FFFFFF"/>
            <w:vAlign w:val="top"/>
          </w:tcPr>
          <w:p>
            <w:pPr>
              <w:ind w:left="0" w:leftChars="0" w:firstLine="0" w:firstLineChars="0"/>
              <w:jc w:val="left"/>
              <w:rPr>
                <w:rFonts w:hint="eastAsia"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val="en-US" w:eastAsia="zh-CN"/>
              </w:rPr>
              <w:t>2019年财政部第102号令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4</w:t>
            </w:r>
          </w:p>
        </w:tc>
        <w:tc>
          <w:tcPr>
            <w:tcW w:w="440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《政府采购需求管理办法》</w:t>
            </w:r>
          </w:p>
        </w:tc>
        <w:tc>
          <w:tcPr>
            <w:tcW w:w="3410" w:type="dxa"/>
            <w:tcBorders>
              <w:tl2br w:val="nil"/>
              <w:tr2bl w:val="nil"/>
            </w:tcBorders>
            <w:shd w:val="clear" w:color="auto" w:fill="FFFFFF"/>
            <w:vAlign w:val="top"/>
          </w:tcPr>
          <w:p>
            <w:pPr>
              <w:ind w:left="0" w:leftChars="0" w:firstLine="0" w:firstLineChars="0"/>
              <w:jc w:val="left"/>
              <w:rPr>
                <w:rFonts w:hint="eastAsia"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val="en-US" w:eastAsia="zh-CN"/>
              </w:rPr>
              <w:t>财库〔2021〕22号</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6</w:t>
            </w:r>
          </w:p>
        </w:tc>
        <w:tc>
          <w:tcPr>
            <w:tcW w:w="440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《政府采购货物和服务招标投标管理办法》</w:t>
            </w:r>
          </w:p>
        </w:tc>
        <w:tc>
          <w:tcPr>
            <w:tcW w:w="3410" w:type="dxa"/>
            <w:tcBorders>
              <w:tl2br w:val="nil"/>
              <w:tr2bl w:val="nil"/>
            </w:tcBorders>
            <w:shd w:val="clear" w:color="auto" w:fill="FFFFFF"/>
            <w:vAlign w:val="top"/>
          </w:tcPr>
          <w:p>
            <w:pPr>
              <w:ind w:left="0" w:leftChars="0" w:firstLine="0" w:firstLineChars="0"/>
              <w:jc w:val="left"/>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2017年</w:t>
            </w:r>
            <w:r>
              <w:rPr>
                <w:rFonts w:hint="eastAsia" w:ascii="Times New Roman" w:hAnsi="Times New Roman" w:eastAsia="楷体_GB2312" w:cs="Times New Roman"/>
                <w:color w:val="000000"/>
                <w:sz w:val="24"/>
                <w:szCs w:val="24"/>
                <w:vertAlign w:val="baseline"/>
                <w:lang w:val="en-US" w:eastAsia="zh-CN"/>
              </w:rPr>
              <w:t>财政部第87号令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7</w:t>
            </w:r>
          </w:p>
        </w:tc>
        <w:tc>
          <w:tcPr>
            <w:tcW w:w="440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《政府采购非招标采购方式管理办法》</w:t>
            </w:r>
          </w:p>
        </w:tc>
        <w:tc>
          <w:tcPr>
            <w:tcW w:w="3410" w:type="dxa"/>
            <w:tcBorders>
              <w:tl2br w:val="nil"/>
              <w:tr2bl w:val="nil"/>
            </w:tcBorders>
            <w:shd w:val="clear" w:color="auto" w:fill="FFFFFF"/>
            <w:vAlign w:val="top"/>
          </w:tcPr>
          <w:p>
            <w:pPr>
              <w:ind w:left="0" w:leftChars="0" w:firstLine="0" w:firstLineChars="0"/>
              <w:jc w:val="left"/>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2013年</w:t>
            </w:r>
            <w:r>
              <w:rPr>
                <w:rFonts w:hint="eastAsia" w:ascii="Times New Roman" w:hAnsi="Times New Roman" w:eastAsia="楷体_GB2312" w:cs="Times New Roman"/>
                <w:color w:val="000000"/>
                <w:sz w:val="24"/>
                <w:szCs w:val="24"/>
                <w:vertAlign w:val="baseline"/>
                <w:lang w:val="en-US" w:eastAsia="zh-CN"/>
              </w:rPr>
              <w:t>财政部第74号令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8</w:t>
            </w:r>
          </w:p>
        </w:tc>
        <w:tc>
          <w:tcPr>
            <w:tcW w:w="440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《政府采购竞争性磋商采购方式管理暂行办法》</w:t>
            </w:r>
          </w:p>
        </w:tc>
        <w:tc>
          <w:tcPr>
            <w:tcW w:w="3410" w:type="dxa"/>
            <w:tcBorders>
              <w:tl2br w:val="nil"/>
              <w:tr2bl w:val="nil"/>
            </w:tcBorders>
            <w:shd w:val="clear" w:color="auto" w:fill="FFFFFF"/>
            <w:vAlign w:val="top"/>
          </w:tcPr>
          <w:p>
            <w:pPr>
              <w:ind w:left="0" w:leftChars="0" w:firstLine="0" w:firstLineChars="0"/>
              <w:jc w:val="left"/>
              <w:rPr>
                <w:rFonts w:hint="eastAsia"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val="en-US" w:eastAsia="zh-CN"/>
              </w:rPr>
              <w:t>财库〔2014〕214号</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9</w:t>
            </w:r>
          </w:p>
        </w:tc>
        <w:tc>
          <w:tcPr>
            <w:tcW w:w="440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《政府采购框架协议采购方式管理暂行办法》</w:t>
            </w:r>
          </w:p>
        </w:tc>
        <w:tc>
          <w:tcPr>
            <w:tcW w:w="3410" w:type="dxa"/>
            <w:tcBorders>
              <w:tl2br w:val="nil"/>
              <w:tr2bl w:val="nil"/>
            </w:tcBorders>
            <w:shd w:val="clear" w:color="auto" w:fill="FFFFFF"/>
            <w:vAlign w:val="top"/>
          </w:tcPr>
          <w:p>
            <w:pPr>
              <w:ind w:left="0" w:leftChars="0" w:firstLine="0" w:firstLineChars="0"/>
              <w:jc w:val="left"/>
              <w:rPr>
                <w:rFonts w:hint="eastAsia" w:eastAsia="楷体_GB2312" w:cs="Times New Roman"/>
                <w:color w:val="000000"/>
                <w:sz w:val="24"/>
                <w:szCs w:val="24"/>
                <w:vertAlign w:val="baseline"/>
                <w:lang w:val="en-US" w:eastAsia="zh-CN"/>
              </w:rPr>
            </w:pPr>
            <w:r>
              <w:rPr>
                <w:rFonts w:hint="eastAsia" w:ascii="Times New Roman" w:hAnsi="Times New Roman" w:eastAsia="楷体_GB2312" w:cs="Times New Roman"/>
                <w:color w:val="000000"/>
                <w:sz w:val="24"/>
                <w:szCs w:val="24"/>
                <w:vertAlign w:val="baseline"/>
                <w:lang w:val="en-US" w:eastAsia="zh-CN"/>
              </w:rPr>
              <w:t>2021年财政部第110号令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8522" w:type="dxa"/>
            <w:gridSpan w:val="3"/>
            <w:tcBorders>
              <w:tl2br w:val="nil"/>
              <w:tr2bl w:val="nil"/>
            </w:tcBorders>
            <w:shd w:val="clear" w:color="auto" w:fill="E2EFDA" w:themeFill="accent6" w:themeFillTint="32"/>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b/>
                <w:bCs/>
                <w:color w:val="000000"/>
                <w:sz w:val="28"/>
                <w:szCs w:val="28"/>
                <w:vertAlign w:val="baseline"/>
                <w:lang w:val="en-US" w:eastAsia="zh-CN"/>
              </w:rPr>
              <w:t>出口管制</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rPr>
          <w:trHeight w:val="90" w:hRule="atLeast"/>
        </w:trPr>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1</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《中华人民共和国出口管制法》</w:t>
            </w:r>
          </w:p>
        </w:tc>
        <w:tc>
          <w:tcPr>
            <w:tcW w:w="3410" w:type="dxa"/>
            <w:tcBorders>
              <w:tl2br w:val="nil"/>
              <w:tr2bl w:val="nil"/>
            </w:tcBorders>
            <w:shd w:val="clear" w:color="auto" w:fill="FFFFFF"/>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2020年</w:t>
            </w:r>
            <w:r>
              <w:rPr>
                <w:rFonts w:hint="eastAsia" w:eastAsia="楷体_GB2312" w:cs="Times New Roman"/>
                <w:color w:val="000000"/>
                <w:sz w:val="24"/>
                <w:szCs w:val="24"/>
                <w:vertAlign w:val="baseline"/>
                <w:lang w:eastAsia="zh-CN"/>
              </w:rPr>
              <w:t>国家</w:t>
            </w:r>
            <w:r>
              <w:rPr>
                <w:rFonts w:hint="default" w:ascii="Times New Roman" w:hAnsi="Times New Roman" w:eastAsia="楷体_GB2312" w:cs="Times New Roman"/>
                <w:color w:val="000000"/>
                <w:sz w:val="24"/>
                <w:szCs w:val="24"/>
                <w:vertAlign w:val="baseline"/>
                <w:lang w:eastAsia="zh-CN"/>
              </w:rPr>
              <w:t>主席第58号令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2</w:t>
            </w:r>
          </w:p>
        </w:tc>
        <w:tc>
          <w:tcPr>
            <w:tcW w:w="4400" w:type="dxa"/>
            <w:tcBorders>
              <w:tl2br w:val="nil"/>
              <w:tr2bl w:val="nil"/>
            </w:tcBorders>
            <w:shd w:val="clear" w:color="auto" w:fill="FFFFFF"/>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《商务部关于两用物项出口经营者建立出口管制内部合规机制的指导意见》</w:t>
            </w:r>
          </w:p>
        </w:tc>
        <w:tc>
          <w:tcPr>
            <w:tcW w:w="3410" w:type="dxa"/>
            <w:tcBorders>
              <w:tl2br w:val="nil"/>
              <w:tr2bl w:val="nil"/>
            </w:tcBorders>
            <w:shd w:val="clear" w:color="auto" w:fill="FFFFFF"/>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2021年商务部第10号令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8522" w:type="dxa"/>
            <w:gridSpan w:val="3"/>
            <w:tcBorders>
              <w:tl2br w:val="nil"/>
              <w:tr2bl w:val="nil"/>
            </w:tcBorders>
            <w:shd w:val="clear" w:color="auto" w:fill="E2EFDA" w:themeFill="accent6" w:themeFillTint="32"/>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ascii="Times New Roman" w:hAnsi="Times New Roman" w:eastAsia="楷体_GB2312" w:cs="Times New Roman"/>
                <w:b/>
                <w:bCs/>
                <w:color w:val="000000"/>
                <w:sz w:val="28"/>
                <w:szCs w:val="28"/>
                <w:vertAlign w:val="baseline"/>
                <w:lang w:val="en-US" w:eastAsia="zh-CN"/>
              </w:rPr>
              <w:t>国际贸易</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1</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《2010年国际贸易术语解释通则</w:t>
            </w:r>
            <w:r>
              <w:rPr>
                <w:rFonts w:hint="eastAsia" w:eastAsia="楷体_GB2312" w:cs="Times New Roman"/>
                <w:color w:val="000000"/>
                <w:sz w:val="24"/>
                <w:szCs w:val="24"/>
                <w:vertAlign w:val="baseline"/>
                <w:lang w:eastAsia="zh-CN"/>
              </w:rPr>
              <w:t>（Incoterms 20</w:t>
            </w:r>
            <w:r>
              <w:rPr>
                <w:rFonts w:hint="eastAsia" w:eastAsia="楷体_GB2312" w:cs="Times New Roman"/>
                <w:color w:val="000000"/>
                <w:sz w:val="24"/>
                <w:szCs w:val="24"/>
                <w:vertAlign w:val="baseline"/>
                <w:lang w:val="en-US" w:eastAsia="zh-CN"/>
              </w:rPr>
              <w:t>1</w:t>
            </w:r>
            <w:r>
              <w:rPr>
                <w:rFonts w:hint="eastAsia" w:eastAsia="楷体_GB2312" w:cs="Times New Roman"/>
                <w:color w:val="000000"/>
                <w:sz w:val="24"/>
                <w:szCs w:val="24"/>
                <w:vertAlign w:val="baseline"/>
                <w:lang w:eastAsia="zh-CN"/>
              </w:rPr>
              <w:t>0）</w:t>
            </w:r>
            <w:r>
              <w:rPr>
                <w:rFonts w:hint="default" w:ascii="Times New Roman" w:hAnsi="Times New Roman" w:eastAsia="楷体_GB2312" w:cs="Times New Roman"/>
                <w:color w:val="000000"/>
                <w:sz w:val="24"/>
                <w:szCs w:val="24"/>
                <w:vertAlign w:val="baseline"/>
                <w:lang w:eastAsia="zh-CN"/>
              </w:rPr>
              <w:t>》</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国际商会2010年</w:t>
            </w:r>
            <w:r>
              <w:rPr>
                <w:rFonts w:hint="eastAsia" w:eastAsia="楷体_GB2312" w:cs="Times New Roman"/>
                <w:color w:val="000000"/>
                <w:sz w:val="24"/>
                <w:szCs w:val="24"/>
                <w:vertAlign w:val="baseline"/>
                <w:lang w:eastAsia="zh-CN"/>
              </w:rPr>
              <w:t>通过</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2</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w:t>
            </w:r>
            <w:r>
              <w:rPr>
                <w:rFonts w:hint="eastAsia" w:eastAsia="楷体_GB2312" w:cs="Times New Roman"/>
                <w:color w:val="000000"/>
                <w:sz w:val="24"/>
                <w:szCs w:val="24"/>
                <w:vertAlign w:val="baseline"/>
                <w:lang w:val="en-US" w:eastAsia="zh-CN"/>
              </w:rPr>
              <w:t>2020年</w:t>
            </w:r>
            <w:r>
              <w:rPr>
                <w:rFonts w:hint="default" w:ascii="Times New Roman" w:hAnsi="Times New Roman" w:eastAsia="楷体_GB2312" w:cs="Times New Roman"/>
                <w:color w:val="000000"/>
                <w:sz w:val="24"/>
                <w:szCs w:val="24"/>
                <w:vertAlign w:val="baseline"/>
                <w:lang w:eastAsia="zh-CN"/>
              </w:rPr>
              <w:t>国际贸易术语解释通则</w:t>
            </w:r>
            <w:r>
              <w:rPr>
                <w:rFonts w:hint="eastAsia" w:eastAsia="楷体_GB2312" w:cs="Times New Roman"/>
                <w:color w:val="000000"/>
                <w:sz w:val="24"/>
                <w:szCs w:val="24"/>
                <w:vertAlign w:val="baseline"/>
                <w:lang w:eastAsia="zh-CN"/>
              </w:rPr>
              <w:t>（</w:t>
            </w:r>
            <w:r>
              <w:rPr>
                <w:rFonts w:hint="default" w:ascii="Times New Roman" w:hAnsi="Times New Roman" w:eastAsia="楷体_GB2312" w:cs="Times New Roman"/>
                <w:color w:val="000000"/>
                <w:sz w:val="24"/>
                <w:szCs w:val="24"/>
                <w:vertAlign w:val="baseline"/>
                <w:lang w:eastAsia="zh-CN"/>
              </w:rPr>
              <w:t>Incoterms</w:t>
            </w:r>
            <w:r>
              <w:rPr>
                <w:rFonts w:hint="eastAsia" w:eastAsia="楷体_GB2312" w:cs="Times New Roman"/>
                <w:color w:val="000000"/>
                <w:sz w:val="24"/>
                <w:szCs w:val="24"/>
                <w:vertAlign w:val="baseline"/>
                <w:lang w:val="en-US" w:eastAsia="zh-CN"/>
              </w:rPr>
              <w:t xml:space="preserve"> </w:t>
            </w:r>
            <w:r>
              <w:rPr>
                <w:rFonts w:hint="default" w:ascii="Times New Roman" w:hAnsi="Times New Roman" w:eastAsia="楷体_GB2312" w:cs="Times New Roman"/>
                <w:color w:val="000000"/>
                <w:sz w:val="24"/>
                <w:szCs w:val="24"/>
                <w:vertAlign w:val="baseline"/>
                <w:lang w:eastAsia="zh-CN"/>
              </w:rPr>
              <w:t>2020</w:t>
            </w:r>
            <w:r>
              <w:rPr>
                <w:rFonts w:hint="eastAsia" w:eastAsia="楷体_GB2312" w:cs="Times New Roman"/>
                <w:color w:val="000000"/>
                <w:sz w:val="24"/>
                <w:szCs w:val="24"/>
                <w:vertAlign w:val="baseline"/>
                <w:lang w:eastAsia="zh-CN"/>
              </w:rPr>
              <w:t>）</w:t>
            </w:r>
            <w:r>
              <w:rPr>
                <w:rFonts w:hint="default" w:ascii="Times New Roman" w:hAnsi="Times New Roman" w:eastAsia="楷体_GB2312" w:cs="Times New Roman"/>
                <w:color w:val="000000"/>
                <w:sz w:val="24"/>
                <w:szCs w:val="24"/>
                <w:vertAlign w:val="baseline"/>
                <w:lang w:eastAsia="zh-CN"/>
              </w:rPr>
              <w:t>》</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国际商会20</w:t>
            </w:r>
            <w:r>
              <w:rPr>
                <w:rFonts w:hint="eastAsia" w:eastAsia="楷体_GB2312" w:cs="Times New Roman"/>
                <w:color w:val="000000"/>
                <w:sz w:val="24"/>
                <w:szCs w:val="24"/>
                <w:vertAlign w:val="baseline"/>
                <w:lang w:val="en-US" w:eastAsia="zh-CN"/>
              </w:rPr>
              <w:t>2</w:t>
            </w:r>
            <w:r>
              <w:rPr>
                <w:rFonts w:hint="default" w:ascii="Times New Roman" w:hAnsi="Times New Roman" w:eastAsia="楷体_GB2312" w:cs="Times New Roman"/>
                <w:color w:val="000000"/>
                <w:sz w:val="24"/>
                <w:szCs w:val="24"/>
                <w:vertAlign w:val="baseline"/>
                <w:lang w:eastAsia="zh-CN"/>
              </w:rPr>
              <w:t>0年</w:t>
            </w:r>
            <w:r>
              <w:rPr>
                <w:rFonts w:hint="eastAsia" w:eastAsia="楷体_GB2312" w:cs="Times New Roman"/>
                <w:color w:val="000000"/>
                <w:sz w:val="24"/>
                <w:szCs w:val="24"/>
                <w:vertAlign w:val="baseline"/>
                <w:lang w:eastAsia="zh-CN"/>
              </w:rPr>
              <w:t>通过</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3</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《联合国国际货物销售合同公约》</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val="en-US" w:eastAsia="zh-CN"/>
              </w:rPr>
            </w:pPr>
            <w:r>
              <w:rPr>
                <w:rFonts w:hint="default" w:ascii="Times New Roman" w:hAnsi="Times New Roman" w:eastAsia="楷体_GB2312" w:cs="Times New Roman"/>
                <w:color w:val="000000"/>
                <w:sz w:val="24"/>
                <w:szCs w:val="24"/>
                <w:vertAlign w:val="baseline"/>
                <w:lang w:eastAsia="zh-CN"/>
              </w:rPr>
              <w:t>联合国国际贸易法委员会</w:t>
            </w:r>
            <w:r>
              <w:rPr>
                <w:rFonts w:hint="eastAsia" w:eastAsia="楷体_GB2312" w:cs="Times New Roman"/>
                <w:color w:val="000000"/>
                <w:sz w:val="24"/>
                <w:szCs w:val="24"/>
                <w:vertAlign w:val="baseline"/>
                <w:lang w:val="en-US" w:eastAsia="zh-CN"/>
              </w:rPr>
              <w:t>1980年通过</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4</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w:t>
            </w:r>
            <w:r>
              <w:rPr>
                <w:rFonts w:hint="default" w:ascii="Times New Roman" w:hAnsi="Times New Roman" w:eastAsia="楷体_GB2312" w:cs="Times New Roman"/>
                <w:color w:val="000000"/>
                <w:sz w:val="24"/>
                <w:szCs w:val="24"/>
                <w:vertAlign w:val="baseline"/>
                <w:lang w:eastAsia="zh-CN"/>
              </w:rPr>
              <w:t>中华人民共和国海关法</w:t>
            </w:r>
            <w:r>
              <w:rPr>
                <w:rFonts w:hint="eastAsia" w:eastAsia="楷体_GB2312" w:cs="Times New Roman"/>
                <w:color w:val="000000"/>
                <w:sz w:val="24"/>
                <w:szCs w:val="24"/>
                <w:vertAlign w:val="baseline"/>
                <w:lang w:eastAsia="zh-CN"/>
              </w:rPr>
              <w:t>》</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全国人大常委会2017</w:t>
            </w:r>
            <w:r>
              <w:rPr>
                <w:rFonts w:hint="eastAsia" w:eastAsia="楷体_GB2312" w:cs="Times New Roman"/>
                <w:color w:val="000000"/>
                <w:sz w:val="24"/>
                <w:szCs w:val="24"/>
                <w:vertAlign w:val="baseline"/>
                <w:lang w:eastAsia="zh-CN"/>
              </w:rPr>
              <w:t>年</w:t>
            </w:r>
            <w:r>
              <w:rPr>
                <w:rFonts w:hint="default" w:ascii="Times New Roman" w:hAnsi="Times New Roman" w:eastAsia="楷体_GB2312" w:cs="Times New Roman"/>
                <w:color w:val="000000"/>
                <w:sz w:val="24"/>
                <w:szCs w:val="24"/>
                <w:vertAlign w:val="baseline"/>
                <w:lang w:eastAsia="zh-CN"/>
              </w:rPr>
              <w:t>修订</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5</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《中华人民共和国海商法》</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1992年国家主席令第</w:t>
            </w:r>
            <w:r>
              <w:rPr>
                <w:rFonts w:hint="eastAsia" w:eastAsia="楷体_GB2312" w:cs="Times New Roman"/>
                <w:color w:val="000000"/>
                <w:sz w:val="24"/>
                <w:szCs w:val="24"/>
                <w:vertAlign w:val="baseline"/>
                <w:lang w:val="en-US" w:eastAsia="zh-CN"/>
              </w:rPr>
              <w:t>64</w:t>
            </w:r>
            <w:r>
              <w:rPr>
                <w:rFonts w:hint="eastAsia" w:eastAsia="楷体_GB2312" w:cs="Times New Roman"/>
                <w:color w:val="000000"/>
                <w:sz w:val="24"/>
                <w:szCs w:val="24"/>
                <w:vertAlign w:val="baseline"/>
                <w:lang w:eastAsia="zh-CN"/>
              </w:rPr>
              <w:t>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6</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《中华人民共和国对外贸易法》</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2004年全国人大常委会修订</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7</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《中华人民共和国货物进出口管理条例》</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2001年国务院第332号令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8</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《中华人民共和国技术进出口管理条例》</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国务院2019年修订</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9</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val="en-US" w:eastAsia="zh-CN"/>
              </w:rPr>
              <w:t>《技术进出口合同登记管理办法》</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商务部2009年</w:t>
            </w:r>
            <w:r>
              <w:rPr>
                <w:rFonts w:hint="eastAsia" w:ascii="Times New Roman" w:hAnsi="Times New Roman" w:eastAsia="楷体_GB2312" w:cs="Times New Roman"/>
                <w:color w:val="000000"/>
                <w:sz w:val="24"/>
                <w:szCs w:val="24"/>
                <w:vertAlign w:val="baseline"/>
                <w:lang w:val="en-US" w:eastAsia="zh-CN"/>
              </w:rPr>
              <w:t>修订</w:t>
            </w:r>
          </w:p>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10</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eastAsia="zh-CN"/>
              </w:rPr>
              <w:t>《</w:t>
            </w:r>
            <w:r>
              <w:rPr>
                <w:rFonts w:hint="default" w:ascii="Times New Roman" w:hAnsi="Times New Roman" w:eastAsia="楷体_GB2312" w:cs="Times New Roman"/>
                <w:color w:val="000000"/>
                <w:sz w:val="24"/>
                <w:szCs w:val="24"/>
                <w:vertAlign w:val="baseline"/>
                <w:lang w:eastAsia="zh-CN"/>
              </w:rPr>
              <w:t>中华人民共和国海关进出口货物商品归类管理规定》</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2017年海关总署令第158号</w:t>
            </w:r>
            <w:r>
              <w:rPr>
                <w:rFonts w:hint="eastAsia" w:eastAsia="楷体_GB2312" w:cs="Times New Roman"/>
                <w:color w:val="000000"/>
                <w:sz w:val="24"/>
                <w:szCs w:val="24"/>
                <w:vertAlign w:val="baseline"/>
                <w:lang w:eastAsia="zh-CN"/>
              </w:rPr>
              <w:t>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8522" w:type="dxa"/>
            <w:gridSpan w:val="3"/>
            <w:tcBorders>
              <w:tl2br w:val="nil"/>
              <w:tr2bl w:val="nil"/>
            </w:tcBorders>
            <w:shd w:val="clear" w:color="auto" w:fill="E2EFDA" w:themeFill="accent6" w:themeFillTint="32"/>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b/>
                <w:bCs/>
                <w:color w:val="000000"/>
                <w:sz w:val="28"/>
                <w:szCs w:val="28"/>
                <w:vertAlign w:val="baseline"/>
                <w:lang w:val="en-US" w:eastAsia="zh-CN"/>
              </w:rPr>
              <w:t>保障中小企业款项支付</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1</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w:t>
            </w:r>
            <w:r>
              <w:rPr>
                <w:rFonts w:hint="default" w:ascii="Times New Roman" w:hAnsi="Times New Roman" w:eastAsia="楷体_GB2312" w:cs="Times New Roman"/>
                <w:color w:val="000000"/>
                <w:sz w:val="24"/>
                <w:szCs w:val="24"/>
                <w:vertAlign w:val="baseline"/>
                <w:lang w:eastAsia="zh-CN"/>
              </w:rPr>
              <w:t>中华人民共和国中小企业促进法</w:t>
            </w:r>
            <w:r>
              <w:rPr>
                <w:rFonts w:hint="eastAsia" w:ascii="Times New Roman" w:hAnsi="Times New Roman" w:eastAsia="楷体_GB2312" w:cs="Times New Roman"/>
                <w:color w:val="000000"/>
                <w:sz w:val="24"/>
                <w:szCs w:val="24"/>
                <w:vertAlign w:val="baseline"/>
                <w:lang w:eastAsia="zh-CN"/>
              </w:rPr>
              <w:t>》</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2017年全国人大常委会修订</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2</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《保障中小企业款项支付条例》</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default" w:ascii="Times New Roman" w:hAnsi="Times New Roman" w:eastAsia="楷体_GB2312" w:cs="Times New Roman"/>
                <w:color w:val="000000"/>
                <w:sz w:val="24"/>
                <w:szCs w:val="24"/>
                <w:vertAlign w:val="baseline"/>
                <w:lang w:eastAsia="zh-CN"/>
              </w:rPr>
              <w:t>2020年国务院第728号令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8522" w:type="dxa"/>
            <w:gridSpan w:val="3"/>
            <w:tcBorders>
              <w:tl2br w:val="nil"/>
              <w:tr2bl w:val="nil"/>
            </w:tcBorders>
            <w:shd w:val="clear" w:color="auto" w:fill="E2EFDA" w:themeFill="accent6" w:themeFillTint="32"/>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b/>
                <w:bCs/>
                <w:color w:val="000000"/>
                <w:sz w:val="28"/>
                <w:szCs w:val="28"/>
                <w:vertAlign w:val="baseline"/>
                <w:lang w:val="en-US" w:eastAsia="zh-CN"/>
              </w:rPr>
              <w:t>民事争议处理</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default"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1</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《中华人民共和国民事诉讼法》</w:t>
            </w:r>
          </w:p>
        </w:tc>
        <w:tc>
          <w:tcPr>
            <w:tcW w:w="341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val="en-US" w:eastAsia="zh-CN"/>
              </w:rPr>
              <w:t>2021年</w:t>
            </w:r>
            <w:r>
              <w:rPr>
                <w:rFonts w:hint="eastAsia" w:eastAsia="楷体_GB2312" w:cs="Times New Roman"/>
                <w:color w:val="000000"/>
                <w:sz w:val="24"/>
                <w:szCs w:val="24"/>
                <w:vertAlign w:val="baseline"/>
                <w:lang w:val="en-US" w:eastAsia="zh-CN"/>
              </w:rPr>
              <w:t>国家主席</w:t>
            </w:r>
            <w:r>
              <w:rPr>
                <w:rFonts w:hint="eastAsia" w:ascii="Times New Roman" w:hAnsi="Times New Roman" w:eastAsia="楷体_GB2312" w:cs="Times New Roman"/>
                <w:color w:val="000000"/>
                <w:sz w:val="24"/>
                <w:szCs w:val="24"/>
                <w:vertAlign w:val="baseline"/>
                <w:lang w:val="en-US" w:eastAsia="zh-CN"/>
              </w:rPr>
              <w:t>第106号令</w:t>
            </w: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2</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《最高人民法院关于适用</w:t>
            </w:r>
            <w:r>
              <w:rPr>
                <w:rFonts w:hint="eastAsia" w:ascii="Times New Roman" w:hAnsi="Times New Roman" w:eastAsia="楷体_GB2312" w:cs="Times New Roman"/>
                <w:color w:val="000000"/>
                <w:sz w:val="24"/>
                <w:szCs w:val="24"/>
                <w:vertAlign w:val="baseline"/>
                <w:lang w:val="en-US" w:eastAsia="zh-CN"/>
              </w:rPr>
              <w:t>&lt;</w:t>
            </w:r>
            <w:r>
              <w:rPr>
                <w:rFonts w:hint="eastAsia" w:ascii="Times New Roman" w:hAnsi="Times New Roman" w:eastAsia="楷体_GB2312" w:cs="Times New Roman"/>
                <w:color w:val="000000"/>
                <w:sz w:val="24"/>
                <w:szCs w:val="24"/>
                <w:vertAlign w:val="baseline"/>
                <w:lang w:eastAsia="zh-CN"/>
              </w:rPr>
              <w:t>中华人民共和国民事诉讼法</w:t>
            </w:r>
            <w:r>
              <w:rPr>
                <w:rFonts w:hint="eastAsia" w:ascii="Times New Roman" w:hAnsi="Times New Roman" w:eastAsia="楷体_GB2312" w:cs="Times New Roman"/>
                <w:color w:val="000000"/>
                <w:sz w:val="24"/>
                <w:szCs w:val="24"/>
                <w:vertAlign w:val="baseline"/>
                <w:lang w:val="en-US" w:eastAsia="zh-CN"/>
              </w:rPr>
              <w:t>&gt;</w:t>
            </w:r>
            <w:r>
              <w:rPr>
                <w:rFonts w:hint="eastAsia" w:ascii="Times New Roman" w:hAnsi="Times New Roman" w:eastAsia="楷体_GB2312" w:cs="Times New Roman"/>
                <w:color w:val="000000"/>
                <w:sz w:val="24"/>
                <w:szCs w:val="24"/>
                <w:vertAlign w:val="baseline"/>
                <w:lang w:eastAsia="zh-CN"/>
              </w:rPr>
              <w:t>的解释》</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最高人民法院</w:t>
            </w:r>
            <w:r>
              <w:rPr>
                <w:rFonts w:hint="eastAsia" w:ascii="Times New Roman" w:hAnsi="Times New Roman" w:eastAsia="楷体_GB2312" w:cs="Times New Roman"/>
                <w:color w:val="000000"/>
                <w:sz w:val="24"/>
                <w:szCs w:val="24"/>
                <w:vertAlign w:val="baseline"/>
                <w:lang w:val="en-US" w:eastAsia="zh-CN"/>
              </w:rPr>
              <w:t>2022年修正</w:t>
            </w:r>
          </w:p>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3</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《最高人民法院关于审理民事案件适用诉讼时效制度若干问题的规定》</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val="en-US" w:eastAsia="zh-CN"/>
              </w:rPr>
              <w:t>最高人民法院</w:t>
            </w:r>
            <w:r>
              <w:rPr>
                <w:rFonts w:hint="eastAsia" w:ascii="Times New Roman" w:hAnsi="Times New Roman" w:eastAsia="楷体_GB2312" w:cs="Times New Roman"/>
                <w:color w:val="000000"/>
                <w:sz w:val="24"/>
                <w:szCs w:val="24"/>
                <w:vertAlign w:val="baseline"/>
                <w:lang w:eastAsia="zh-CN"/>
              </w:rPr>
              <w:t>2020年修改</w:t>
            </w:r>
          </w:p>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p>
        </w:tc>
      </w:tr>
      <w:tr>
        <w:tblPrEx>
          <w:tblBorders>
            <w:top w:val="threeDEmboss" w:color="auto" w:sz="6" w:space="0"/>
            <w:left w:val="threeDEmboss" w:color="auto" w:sz="6" w:space="0"/>
            <w:bottom w:val="threeDEmboss" w:color="000000" w:sz="6" w:space="0"/>
            <w:right w:val="threeDEmboss" w:color="auto" w:sz="6" w:space="0"/>
            <w:insideH w:val="threeDEmboss" w:color="auto" w:sz="6" w:space="0"/>
            <w:insideV w:val="single" w:color="AEAAAA" w:themeColor="background2" w:themeShade="BF" w:sz="8" w:space="0"/>
          </w:tblBorders>
          <w:tblLayout w:type="fixed"/>
          <w:tblCellMar>
            <w:top w:w="0" w:type="dxa"/>
            <w:left w:w="108" w:type="dxa"/>
            <w:bottom w:w="0" w:type="dxa"/>
            <w:right w:w="108" w:type="dxa"/>
          </w:tblCellMar>
        </w:tblPrEx>
        <w:tc>
          <w:tcPr>
            <w:tcW w:w="712" w:type="dxa"/>
            <w:tcBorders>
              <w:tl2br w:val="nil"/>
              <w:tr2bl w:val="nil"/>
            </w:tcBorders>
            <w:shd w:val="clear" w:color="auto" w:fill="FFFFFF"/>
            <w:vAlign w:val="center"/>
          </w:tcPr>
          <w:p>
            <w:pPr>
              <w:ind w:left="0" w:leftChars="0" w:firstLine="0" w:firstLineChars="0"/>
              <w:jc w:val="center"/>
              <w:rPr>
                <w:rFonts w:hint="eastAsia" w:eastAsia="楷体_GB2312" w:cs="Times New Roman"/>
                <w:color w:val="000000"/>
                <w:sz w:val="24"/>
                <w:szCs w:val="24"/>
                <w:vertAlign w:val="baseline"/>
                <w:lang w:val="en-US" w:eastAsia="zh-CN"/>
              </w:rPr>
            </w:pPr>
            <w:r>
              <w:rPr>
                <w:rFonts w:hint="eastAsia" w:eastAsia="楷体_GB2312" w:cs="Times New Roman"/>
                <w:color w:val="000000"/>
                <w:sz w:val="24"/>
                <w:szCs w:val="24"/>
                <w:vertAlign w:val="baseline"/>
                <w:lang w:val="en-US" w:eastAsia="zh-CN"/>
              </w:rPr>
              <w:t>4</w:t>
            </w:r>
          </w:p>
        </w:tc>
        <w:tc>
          <w:tcPr>
            <w:tcW w:w="4400" w:type="dxa"/>
            <w:tcBorders>
              <w:tl2br w:val="nil"/>
              <w:tr2bl w:val="nil"/>
            </w:tcBorders>
            <w:shd w:val="clear" w:color="auto" w:fill="FFFFFF"/>
            <w:vAlign w:val="top"/>
          </w:tcPr>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r>
              <w:rPr>
                <w:rFonts w:hint="eastAsia" w:ascii="Times New Roman" w:hAnsi="Times New Roman" w:eastAsia="楷体_GB2312" w:cs="Times New Roman"/>
                <w:color w:val="000000"/>
                <w:sz w:val="24"/>
                <w:szCs w:val="24"/>
                <w:vertAlign w:val="baseline"/>
                <w:lang w:eastAsia="zh-CN"/>
              </w:rPr>
              <w:t>《最高人民法院关于在审理经济纠纷案件中涉及经济犯罪嫌疑若干问题的规定》</w:t>
            </w:r>
          </w:p>
        </w:tc>
        <w:tc>
          <w:tcPr>
            <w:tcW w:w="3410" w:type="dxa"/>
            <w:tcBorders>
              <w:tl2br w:val="nil"/>
              <w:tr2bl w:val="nil"/>
            </w:tcBorders>
            <w:shd w:val="clear" w:color="auto" w:fill="FFFFFF"/>
            <w:vAlign w:val="top"/>
          </w:tcPr>
          <w:p>
            <w:pPr>
              <w:ind w:left="0" w:leftChars="0" w:firstLine="0" w:firstLineChars="0"/>
              <w:jc w:val="left"/>
              <w:rPr>
                <w:rFonts w:hint="eastAsia" w:ascii="Times New Roman" w:hAnsi="Times New Roman" w:eastAsia="楷体_GB2312" w:cs="Times New Roman"/>
                <w:color w:val="000000"/>
                <w:sz w:val="24"/>
                <w:szCs w:val="24"/>
                <w:vertAlign w:val="baseline"/>
                <w:lang w:eastAsia="zh-CN"/>
              </w:rPr>
            </w:pPr>
            <w:r>
              <w:rPr>
                <w:rFonts w:hint="eastAsia" w:eastAsia="楷体_GB2312" w:cs="Times New Roman"/>
                <w:color w:val="000000"/>
                <w:sz w:val="24"/>
                <w:szCs w:val="24"/>
                <w:vertAlign w:val="baseline"/>
                <w:lang w:val="en-US" w:eastAsia="zh-CN"/>
              </w:rPr>
              <w:t>最高人民法院</w:t>
            </w:r>
            <w:r>
              <w:rPr>
                <w:rFonts w:hint="eastAsia" w:ascii="Times New Roman" w:hAnsi="Times New Roman" w:eastAsia="楷体_GB2312" w:cs="Times New Roman"/>
                <w:color w:val="000000"/>
                <w:sz w:val="24"/>
                <w:szCs w:val="24"/>
                <w:vertAlign w:val="baseline"/>
                <w:lang w:eastAsia="zh-CN"/>
              </w:rPr>
              <w:t>2020年修改</w:t>
            </w:r>
          </w:p>
          <w:p>
            <w:pPr>
              <w:ind w:left="0" w:leftChars="0" w:firstLine="0" w:firstLineChars="0"/>
              <w:jc w:val="left"/>
              <w:rPr>
                <w:rFonts w:hint="default" w:ascii="Times New Roman" w:hAnsi="Times New Roman" w:eastAsia="楷体_GB2312" w:cs="Times New Roman"/>
                <w:color w:val="000000"/>
                <w:sz w:val="24"/>
                <w:szCs w:val="24"/>
                <w:vertAlign w:val="baseline"/>
                <w:lang w:eastAsia="zh-CN"/>
              </w:rPr>
            </w:pPr>
          </w:p>
        </w:tc>
      </w:tr>
    </w:tbl>
    <w:p>
      <w:pPr>
        <w:rPr>
          <w:b/>
          <w:bCs/>
        </w:rPr>
      </w:pPr>
    </w:p>
    <w:p>
      <w:pPr>
        <w:jc w:val="left"/>
        <w:rPr>
          <w:rFonts w:hint="eastAsia"/>
          <w:lang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auto"/>
    <w:pitch w:val="default"/>
    <w:sig w:usb0="00000000" w:usb1="00000000" w:usb2="00000000" w:usb3="00000000" w:csb0="2000009F" w:csb1="DFD7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801144"/>
    <w:rsid w:val="00182263"/>
    <w:rsid w:val="02C338C8"/>
    <w:rsid w:val="078C210B"/>
    <w:rsid w:val="0BC76FFC"/>
    <w:rsid w:val="1C801144"/>
    <w:rsid w:val="1FC31277"/>
    <w:rsid w:val="26284E51"/>
    <w:rsid w:val="3B526F12"/>
    <w:rsid w:val="468C2A95"/>
    <w:rsid w:val="4F2B3A87"/>
    <w:rsid w:val="51BD5FBB"/>
    <w:rsid w:val="57B34069"/>
    <w:rsid w:val="5B433F8A"/>
    <w:rsid w:val="686A4D84"/>
    <w:rsid w:val="6BAE211B"/>
    <w:rsid w:val="70CE7FE2"/>
    <w:rsid w:val="782D3542"/>
    <w:rsid w:val="7C433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640" w:firstLineChars="200"/>
      <w:jc w:val="both"/>
    </w:pPr>
    <w:rPr>
      <w:rFonts w:ascii="Times New Roman" w:hAnsi="Times New Roman" w:eastAsia="华文仿宋" w:cstheme="minorBidi"/>
      <w:kern w:val="2"/>
      <w:sz w:val="24"/>
      <w:szCs w:val="24"/>
      <w:lang w:val="en-US" w:eastAsia="zh-CN" w:bidi="ar-SA"/>
    </w:rPr>
  </w:style>
  <w:style w:type="paragraph" w:styleId="2">
    <w:name w:val="heading 1"/>
    <w:basedOn w:val="1"/>
    <w:next w:val="1"/>
    <w:qFormat/>
    <w:uiPriority w:val="0"/>
    <w:pPr>
      <w:keepNext/>
      <w:keepLines/>
      <w:adjustRightInd w:val="0"/>
      <w:spacing w:beforeLines="0" w:beforeAutospacing="0" w:afterLines="0" w:afterAutospacing="0" w:line="360" w:lineRule="auto"/>
      <w:ind w:firstLine="482" w:firstLineChars="200"/>
      <w:outlineLvl w:val="0"/>
    </w:pPr>
    <w:rPr>
      <w:rFonts w:ascii="Times New Roman" w:hAnsi="Times New Roman" w:eastAsia="仿宋"/>
      <w:b/>
      <w:kern w:val="44"/>
      <w:sz w:val="28"/>
    </w:rPr>
  </w:style>
  <w:style w:type="paragraph" w:styleId="3">
    <w:name w:val="heading 2"/>
    <w:basedOn w:val="1"/>
    <w:next w:val="1"/>
    <w:semiHidden/>
    <w:unhideWhenUsed/>
    <w:qFormat/>
    <w:uiPriority w:val="0"/>
    <w:pPr>
      <w:keepNext/>
      <w:keepLines/>
      <w:adjustRightInd w:val="0"/>
      <w:snapToGrid w:val="0"/>
      <w:spacing w:beforeLines="0" w:beforeAutospacing="0" w:afterLines="0" w:afterAutospacing="0" w:line="360" w:lineRule="auto"/>
      <w:ind w:firstLine="643" w:firstLineChars="200"/>
      <w:outlineLvl w:val="1"/>
    </w:pPr>
    <w:rPr>
      <w:rFonts w:ascii="Arial" w:hAnsi="Arial" w:eastAsia="仿宋"/>
      <w:b/>
      <w:sz w:val="28"/>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qFormat/>
    <w:uiPriority w:val="0"/>
    <w:pPr>
      <w:spacing w:line="360" w:lineRule="auto"/>
      <w:jc w:val="left"/>
    </w:pPr>
    <w:rPr>
      <w:rFonts w:ascii="Times New Roman" w:hAnsi="Times New Roman" w:eastAsia="华文楷体"/>
      <w:sz w:val="28"/>
      <w:szCs w:val="22"/>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规则"/>
    <w:basedOn w:val="1"/>
    <w:qFormat/>
    <w:uiPriority w:val="0"/>
    <w:rPr>
      <w:rFonts w:ascii="Arial Narrow" w:hAnsi="Arial Narrow" w:eastAsia="楷体"/>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2022-08-15T02:49:00Z</dcterms:created>
  <dc:creator>SADRI </dc:creator>
  <cp:lastModifiedBy>丁睿</cp:lastModifiedBy>
  <dcterms:modified xsi:type="dcterms:W3CDTF">2022-08-19T08:50:09Z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